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9360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4685"/>
        <w:gridCol w:w="4674"/>
      </w:tblGrid>
      <w:tr>
        <w:trPr/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-105" w:right="242" w:hanging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46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101" w:hanging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kern w:val="0"/>
                <w:sz w:val="28"/>
                <w:szCs w:val="28"/>
                <w:lang w:val="ru-RU" w:bidi="ar-SA"/>
              </w:rPr>
              <w:t>Утверждаю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01" w:hanging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Первый заместитель директора –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01" w:hanging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главный инженер филиала 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01" w:hanging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ПАО «РусГидро» – «Загорская ГАЭС»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01" w:hanging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______________  В.А. Крымов</w:t>
              <w:tab/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01" w:hanging="0"/>
              <w:jc w:val="left"/>
              <w:rPr>
                <w:b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«____» ________________ 20 ___ г.</w:t>
            </w:r>
          </w:p>
        </w:tc>
      </w:tr>
    </w:tbl>
    <w:p>
      <w:pPr>
        <w:pStyle w:val="FORMATTEX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FORMATTEX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ВЕДОМОСТЬ</w:t>
      </w:r>
    </w:p>
    <w:p>
      <w:pPr>
        <w:pStyle w:val="FORMATTEX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планируемых ремонтно-строительных работ </w:t>
      </w:r>
    </w:p>
    <w:tbl>
      <w:tblPr>
        <w:tblW w:w="9750" w:type="dxa"/>
        <w:jc w:val="center"/>
        <w:tblInd w:w="0" w:type="dxa"/>
        <w:tblLayout w:type="fixed"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1093"/>
        <w:gridCol w:w="1442"/>
        <w:gridCol w:w="1697"/>
        <w:gridCol w:w="180"/>
        <w:gridCol w:w="509"/>
        <w:gridCol w:w="898"/>
        <w:gridCol w:w="840"/>
        <w:gridCol w:w="111"/>
        <w:gridCol w:w="270"/>
        <w:gridCol w:w="569"/>
        <w:gridCol w:w="247"/>
        <w:gridCol w:w="679"/>
        <w:gridCol w:w="1214"/>
      </w:tblGrid>
      <w:tr>
        <w:trPr/>
        <w:tc>
          <w:tcPr>
            <w:tcW w:w="1093" w:type="dxa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442" w:type="dxa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697" w:type="dxa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80" w:type="dxa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09" w:type="dxa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849" w:type="dxa"/>
            <w:gridSpan w:val="3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70" w:type="dxa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69" w:type="dxa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26" w:type="dxa"/>
            <w:gridSpan w:val="2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214" w:type="dxa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1093" w:type="dxa"/>
            <w:tcBorders/>
          </w:tcPr>
          <w:p>
            <w:pPr>
              <w:pStyle w:val="FORMATTEXT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по </w:t>
            </w:r>
          </w:p>
        </w:tc>
        <w:tc>
          <w:tcPr>
            <w:tcW w:w="8656" w:type="dxa"/>
            <w:gridSpan w:val="12"/>
            <w:tcBorders>
              <w:bottom w:val="single" w:sz="4" w:space="0" w:color="000000"/>
            </w:tcBorders>
          </w:tcPr>
          <w:p>
            <w:pPr>
              <w:pStyle w:val="FORMATTEXT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Замене дверных блоков в здании СПК</w:t>
            </w:r>
          </w:p>
        </w:tc>
      </w:tr>
      <w:tr>
        <w:trPr/>
        <w:tc>
          <w:tcPr>
            <w:tcW w:w="1093" w:type="dxa"/>
            <w:tcBorders/>
          </w:tcPr>
          <w:p>
            <w:pPr>
              <w:pStyle w:val="FORMATTEX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656" w:type="dxa"/>
            <w:gridSpan w:val="12"/>
            <w:tcBorders>
              <w:top w:val="single" w:sz="4" w:space="0" w:color="000000"/>
            </w:tcBorders>
          </w:tcPr>
          <w:p>
            <w:pPr>
              <w:pStyle w:val="FORMATTEXT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535" w:type="dxa"/>
            <w:gridSpan w:val="2"/>
            <w:tcBorders/>
          </w:tcPr>
          <w:p>
            <w:pPr>
              <w:pStyle w:val="FORMATTEXT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Срок ремонта с </w:t>
            </w:r>
          </w:p>
        </w:tc>
        <w:tc>
          <w:tcPr>
            <w:tcW w:w="1697" w:type="dxa"/>
            <w:tcBorders/>
          </w:tcPr>
          <w:p>
            <w:pPr>
              <w:pStyle w:val="FORMATTEXT"/>
              <w:widowControl w:val="false"/>
              <w:rPr>
                <w:rFonts w:eastAsia="" w:eastAsiaTheme="minorEastAsia"/>
                <w:highlight w:val="none"/>
                <w:shd w:fill="auto" w:val="clear"/>
              </w:rPr>
            </w:pPr>
            <w:r>
              <w:rPr>
                <w:rFonts w:eastAsia="" w:cs="Times New Roman" w:ascii="Times New Roman" w:hAnsi="Times New Roman" w:eastAsiaTheme="minorEastAsia"/>
                <w:sz w:val="28"/>
                <w:szCs w:val="28"/>
                <w:shd w:fill="auto" w:val="clear"/>
              </w:rPr>
              <w:t>01.07.2026</w:t>
            </w:r>
          </w:p>
        </w:tc>
        <w:tc>
          <w:tcPr>
            <w:tcW w:w="689" w:type="dxa"/>
            <w:gridSpan w:val="2"/>
            <w:tcBorders/>
          </w:tcPr>
          <w:p>
            <w:pPr>
              <w:pStyle w:val="FORMATTEXT"/>
              <w:widowControl w:val="false"/>
              <w:jc w:val="center"/>
              <w:rPr>
                <w:rFonts w:eastAsia="" w:eastAsiaTheme="minorEastAsia"/>
                <w:highlight w:val="none"/>
                <w:shd w:fill="auto" w:val="clear"/>
              </w:rPr>
            </w:pPr>
            <w:r>
              <w:rPr>
                <w:rFonts w:eastAsia="" w:cs="Times New Roman" w:ascii="Times New Roman" w:hAnsi="Times New Roman" w:eastAsiaTheme="minorEastAsia"/>
                <w:sz w:val="28"/>
                <w:szCs w:val="28"/>
                <w:shd w:fill="auto" w:val="clear"/>
              </w:rPr>
              <w:t xml:space="preserve">по </w:t>
            </w:r>
          </w:p>
        </w:tc>
        <w:tc>
          <w:tcPr>
            <w:tcW w:w="1849" w:type="dxa"/>
            <w:gridSpan w:val="3"/>
            <w:tcBorders/>
          </w:tcPr>
          <w:p>
            <w:pPr>
              <w:pStyle w:val="FORMATTEXT"/>
              <w:widowControl w:val="false"/>
              <w:rPr>
                <w:rFonts w:eastAsia="" w:eastAsiaTheme="minorEastAsia"/>
                <w:highlight w:val="none"/>
                <w:shd w:fill="auto" w:val="clear"/>
              </w:rPr>
            </w:pPr>
            <w:r>
              <w:rPr>
                <w:rFonts w:eastAsia="" w:cs="Times New Roman" w:ascii="Times New Roman" w:hAnsi="Times New Roman" w:eastAsiaTheme="minorEastAsia"/>
                <w:sz w:val="28"/>
                <w:szCs w:val="28"/>
                <w:shd w:fill="auto" w:val="clear"/>
              </w:rPr>
              <w:t>19.03.2027</w:t>
            </w:r>
          </w:p>
        </w:tc>
        <w:tc>
          <w:tcPr>
            <w:tcW w:w="2979" w:type="dxa"/>
            <w:gridSpan w:val="5"/>
            <w:tcBorders/>
          </w:tcPr>
          <w:p>
            <w:pPr>
              <w:pStyle w:val="FORMATTEXT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234" w:hRule="atLeast"/>
        </w:trPr>
        <w:tc>
          <w:tcPr>
            <w:tcW w:w="9749" w:type="dxa"/>
            <w:gridSpan w:val="13"/>
            <w:tcBorders>
              <w:bottom w:val="single" w:sz="4" w:space="0" w:color="000000"/>
            </w:tcBorders>
          </w:tcPr>
          <w:p>
            <w:pPr>
              <w:pStyle w:val="FORMATTEXT"/>
              <w:widowControl w:val="false"/>
              <w:rPr>
                <w:rFonts w:eastAsia="" w:eastAsiaTheme="minorEastAsia"/>
                <w:highlight w:val="none"/>
                <w:shd w:fill="auto" w:val="clear"/>
              </w:rPr>
            </w:pPr>
            <w:r>
              <w:rPr>
                <w:rFonts w:eastAsia="" w:cs="Times New Roman" w:ascii="Times New Roman" w:hAnsi="Times New Roman" w:eastAsiaTheme="minorEastAsia"/>
                <w:sz w:val="28"/>
                <w:szCs w:val="28"/>
                <w:shd w:fill="auto" w:val="clear"/>
              </w:rPr>
              <w:t>Основание: План организационно-технических мероприятий по исполнению</w:t>
            </w:r>
          </w:p>
        </w:tc>
      </w:tr>
      <w:tr>
        <w:trPr>
          <w:trHeight w:val="242" w:hRule="atLeast"/>
        </w:trPr>
        <w:tc>
          <w:tcPr>
            <w:tcW w:w="5819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FORMATTEXT"/>
              <w:widowControl w:val="false"/>
              <w:rPr>
                <w:rFonts w:eastAsia="" w:eastAsiaTheme="minorEastAsia"/>
                <w:sz w:val="26"/>
                <w:szCs w:val="26"/>
                <w:highlight w:val="none"/>
                <w:shd w:fill="auto" w:val="clear"/>
              </w:rPr>
            </w:pPr>
            <w:r>
              <w:rPr>
                <w:rFonts w:eastAsia="" w:cs="Times New Roman" w:ascii="Times New Roman" w:hAnsi="Times New Roman" w:eastAsiaTheme="minorEastAsia"/>
                <w:sz w:val="26"/>
                <w:szCs w:val="26"/>
                <w:shd w:fill="auto" w:val="clear"/>
              </w:rPr>
              <w:t>выявленных нарушений  приказ №ЗГАЭС/83-490</w:t>
            </w:r>
          </w:p>
        </w:tc>
        <w:tc>
          <w:tcPr>
            <w:tcW w:w="840" w:type="dxa"/>
            <w:tcBorders>
              <w:top w:val="single" w:sz="4" w:space="0" w:color="000000"/>
            </w:tcBorders>
          </w:tcPr>
          <w:p>
            <w:pPr>
              <w:pStyle w:val="FORMATTEXT"/>
              <w:widowControl w:val="false"/>
              <w:jc w:val="center"/>
              <w:rPr>
                <w:rFonts w:eastAsia="" w:eastAsiaTheme="minorEastAsia"/>
                <w:sz w:val="26"/>
                <w:szCs w:val="26"/>
                <w:highlight w:val="none"/>
                <w:shd w:fill="auto" w:val="clear"/>
              </w:rPr>
            </w:pPr>
            <w:r>
              <w:rPr>
                <w:rFonts w:eastAsia="" w:cs="Times New Roman" w:ascii="Times New Roman" w:hAnsi="Times New Roman" w:eastAsiaTheme="minorEastAsia"/>
                <w:sz w:val="26"/>
                <w:szCs w:val="26"/>
                <w:shd w:fill="auto" w:val="clear"/>
              </w:rPr>
              <w:t xml:space="preserve">от </w:t>
            </w:r>
          </w:p>
        </w:tc>
        <w:tc>
          <w:tcPr>
            <w:tcW w:w="1197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FORMATTEXT"/>
              <w:widowControl w:val="false"/>
              <w:rPr>
                <w:rFonts w:eastAsia="" w:eastAsiaTheme="minorEastAsia"/>
                <w:highlight w:val="none"/>
                <w:shd w:fill="auto" w:val="clear"/>
              </w:rPr>
            </w:pPr>
            <w:r>
              <w:rPr>
                <w:rFonts w:eastAsia="" w:cs="Times New Roman" w:ascii="Times New Roman" w:hAnsi="Times New Roman" w:eastAsiaTheme="minorEastAsia"/>
                <w:sz w:val="28"/>
                <w:szCs w:val="28"/>
                <w:shd w:fill="auto" w:val="clear"/>
              </w:rPr>
              <w:t>11 июня</w:t>
            </w:r>
          </w:p>
        </w:tc>
        <w:tc>
          <w:tcPr>
            <w:tcW w:w="679" w:type="dxa"/>
            <w:tcBorders>
              <w:top w:val="single" w:sz="4" w:space="0" w:color="000000"/>
            </w:tcBorders>
          </w:tcPr>
          <w:p>
            <w:pPr>
              <w:pStyle w:val="FORMATTEXT"/>
              <w:widowControl w:val="false"/>
              <w:rPr>
                <w:rFonts w:eastAsia="" w:eastAsiaTheme="minorEastAsia"/>
                <w:highlight w:val="none"/>
                <w:shd w:fill="auto" w:val="clear"/>
              </w:rPr>
            </w:pPr>
            <w:r>
              <w:rPr>
                <w:rFonts w:eastAsia="" w:cs="Times New Roman" w:ascii="Times New Roman" w:hAnsi="Times New Roman" w:eastAsiaTheme="minorEastAsia"/>
                <w:sz w:val="28"/>
                <w:szCs w:val="28"/>
                <w:shd w:fill="auto" w:val="clear"/>
              </w:rPr>
              <w:t>2026</w:t>
            </w:r>
          </w:p>
        </w:tc>
        <w:tc>
          <w:tcPr>
            <w:tcW w:w="1214" w:type="dxa"/>
            <w:tcBorders>
              <w:top w:val="single" w:sz="4" w:space="0" w:color="000000"/>
            </w:tcBorders>
          </w:tcPr>
          <w:p>
            <w:pPr>
              <w:pStyle w:val="FORMATTEXT"/>
              <w:widowControl w:val="false"/>
              <w:rPr>
                <w:rFonts w:eastAsia="" w:eastAsiaTheme="minorEastAsia"/>
                <w:highlight w:val="none"/>
                <w:shd w:fill="auto" w:val="clear"/>
              </w:rPr>
            </w:pPr>
            <w:r>
              <w:rPr>
                <w:rFonts w:eastAsia="" w:cs="Times New Roman" w:ascii="Times New Roman" w:hAnsi="Times New Roman" w:eastAsiaTheme="minorEastAsia"/>
                <w:sz w:val="28"/>
                <w:szCs w:val="28"/>
                <w:shd w:fill="auto" w:val="clear"/>
              </w:rPr>
              <w:t> </w:t>
            </w:r>
            <w:r>
              <w:rPr>
                <w:rFonts w:eastAsia="" w:cs="Times New Roman" w:ascii="Times New Roman" w:hAnsi="Times New Roman" w:eastAsiaTheme="minorEastAsia"/>
                <w:sz w:val="28"/>
                <w:szCs w:val="28"/>
                <w:shd w:fill="auto" w:val="clear"/>
              </w:rPr>
              <w:t>г.;</w:t>
            </w:r>
          </w:p>
        </w:tc>
      </w:tr>
    </w:tbl>
    <w:p>
      <w:pPr>
        <w:pStyle w:val="Normal"/>
        <w:tabs>
          <w:tab w:val="clear" w:pos="708"/>
          <w:tab w:val="left" w:pos="2925" w:leader="none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Style w:val="a3"/>
        <w:tblW w:w="9923" w:type="dxa"/>
        <w:jc w:val="left"/>
        <w:tblInd w:w="-71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617"/>
        <w:gridCol w:w="4058"/>
        <w:gridCol w:w="1559"/>
        <w:gridCol w:w="1721"/>
        <w:gridCol w:w="1968"/>
      </w:tblGrid>
      <w:tr>
        <w:trPr/>
        <w:tc>
          <w:tcPr>
            <w:tcW w:w="6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b/>
                <w:kern w:val="0"/>
                <w:sz w:val="28"/>
                <w:szCs w:val="28"/>
                <w:lang w:val="ru-RU" w:bidi="ar-SA"/>
              </w:rPr>
              <w:t>N п/п</w:t>
            </w:r>
          </w:p>
        </w:tc>
        <w:tc>
          <w:tcPr>
            <w:tcW w:w="405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b/>
                <w:kern w:val="0"/>
                <w:sz w:val="28"/>
                <w:szCs w:val="28"/>
                <w:lang w:val="ru-RU" w:bidi="ar-SA"/>
              </w:rPr>
              <w:t>Вид работ</w:t>
            </w:r>
          </w:p>
        </w:tc>
        <w:tc>
          <w:tcPr>
            <w:tcW w:w="155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b/>
                <w:kern w:val="0"/>
                <w:sz w:val="28"/>
                <w:szCs w:val="28"/>
                <w:lang w:val="ru-RU" w:bidi="ar-SA"/>
              </w:rPr>
              <w:t xml:space="preserve">Единица измерения </w:t>
            </w:r>
          </w:p>
        </w:tc>
        <w:tc>
          <w:tcPr>
            <w:tcW w:w="17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b/>
                <w:kern w:val="0"/>
                <w:sz w:val="28"/>
                <w:szCs w:val="28"/>
                <w:lang w:val="ru-RU" w:bidi="ar-SA"/>
              </w:rPr>
              <w:t xml:space="preserve">Количество </w:t>
            </w:r>
          </w:p>
        </w:tc>
        <w:tc>
          <w:tcPr>
            <w:tcW w:w="196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b/>
                <w:kern w:val="0"/>
                <w:sz w:val="28"/>
                <w:szCs w:val="28"/>
                <w:lang w:val="ru-RU" w:bidi="ar-SA"/>
              </w:rPr>
              <w:t xml:space="preserve">Необходимые материалы, конструкции </w:t>
            </w:r>
          </w:p>
        </w:tc>
      </w:tr>
      <w:tr>
        <w:trPr/>
        <w:tc>
          <w:tcPr>
            <w:tcW w:w="61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ind w:left="170" w:hanging="0"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1</w:t>
            </w:r>
          </w:p>
        </w:tc>
        <w:tc>
          <w:tcPr>
            <w:tcW w:w="4058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kern w:val="0"/>
                <w:sz w:val="28"/>
                <w:szCs w:val="28"/>
                <w:lang w:val="ru-RU" w:bidi="ar-SA"/>
              </w:rPr>
              <w:t>2</w:t>
            </w:r>
          </w:p>
        </w:tc>
        <w:tc>
          <w:tcPr>
            <w:tcW w:w="155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3</w:t>
            </w:r>
          </w:p>
        </w:tc>
        <w:tc>
          <w:tcPr>
            <w:tcW w:w="172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4</w:t>
            </w:r>
          </w:p>
        </w:tc>
        <w:tc>
          <w:tcPr>
            <w:tcW w:w="1968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kern w:val="0"/>
                <w:lang w:val="ru-RU" w:bidi="ar-SA"/>
              </w:rPr>
              <w:t>5</w:t>
            </w:r>
          </w:p>
        </w:tc>
      </w:tr>
      <w:tr>
        <w:trPr/>
        <w:tc>
          <w:tcPr>
            <w:tcW w:w="617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ind w:left="17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306" w:type="dxa"/>
            <w:gridSpan w:val="4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left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Помещения 712, 710-1, кабельная шахта № 12, 618/5</w:t>
            </w:r>
          </w:p>
        </w:tc>
      </w:tr>
      <w:tr>
        <w:trPr/>
        <w:tc>
          <w:tcPr>
            <w:tcW w:w="617" w:type="dxa"/>
            <w:vMerge w:val="restart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contextualSpacing/>
              <w:jc w:val="center"/>
              <w:rPr/>
            </w:pPr>
            <w:r>
              <w:rPr/>
            </w:r>
          </w:p>
        </w:tc>
        <w:tc>
          <w:tcPr>
            <w:tcW w:w="4058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color w:val="000000" w:themeColor="text1"/>
                <w:kern w:val="0"/>
                <w:sz w:val="28"/>
                <w:szCs w:val="28"/>
                <w:lang w:val="ru-RU" w:bidi="ar-SA"/>
              </w:rPr>
              <w:t xml:space="preserve">Демонтаж дверного блока </w:t>
            </w:r>
            <w:r>
              <w:rPr>
                <w:b/>
                <w:color w:val="000000" w:themeColor="text1"/>
                <w:kern w:val="0"/>
                <w:sz w:val="28"/>
                <w:szCs w:val="28"/>
                <w:lang w:val="ru-RU" w:bidi="ar-SA"/>
              </w:rPr>
              <w:t>1000х2000</w:t>
            </w:r>
          </w:p>
        </w:tc>
        <w:tc>
          <w:tcPr>
            <w:tcW w:w="155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kern w:val="0"/>
                <w:sz w:val="28"/>
                <w:szCs w:val="28"/>
                <w:lang w:val="ru-RU" w:bidi="ar-SA"/>
              </w:rPr>
              <w:t>м²\шт</w:t>
            </w:r>
          </w:p>
        </w:tc>
        <w:tc>
          <w:tcPr>
            <w:tcW w:w="172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kern w:val="0"/>
                <w:sz w:val="28"/>
                <w:szCs w:val="28"/>
                <w:lang w:val="ru-RU" w:bidi="ar-SA"/>
              </w:rPr>
              <w:t>8\4</w:t>
            </w:r>
          </w:p>
        </w:tc>
        <w:tc>
          <w:tcPr>
            <w:tcW w:w="1968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b/>
              </w:rPr>
            </w:pPr>
            <w:r>
              <w:rPr>
                <w:b/>
                <w:color w:val="000000" w:themeColor="text1"/>
                <w:kern w:val="0"/>
                <w:lang w:val="ru-RU" w:bidi="ar-SA"/>
              </w:rPr>
              <w:t xml:space="preserve">с сохранением дверного </w:t>
            </w:r>
            <w:bookmarkStart w:id="0" w:name="_GoBack"/>
            <w:bookmarkEnd w:id="0"/>
            <w:r>
              <w:rPr>
                <w:b/>
                <w:color w:val="000000" w:themeColor="text1"/>
                <w:kern w:val="0"/>
                <w:lang w:val="ru-RU" w:bidi="ar-SA"/>
              </w:rPr>
              <w:t>блока</w:t>
            </w:r>
          </w:p>
        </w:tc>
      </w:tr>
      <w:tr>
        <w:trPr/>
        <w:tc>
          <w:tcPr>
            <w:tcW w:w="617" w:type="dxa"/>
            <w:vMerge w:val="continue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ind w:left="720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058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left"/>
              <w:rPr>
                <w:color w:val="000000" w:themeColor="text1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Монтаж противопожарного металлического, дверного блока в проём </w:t>
            </w:r>
            <w:r>
              <w:rPr>
                <w:b/>
                <w:color w:val="000000" w:themeColor="text1"/>
                <w:kern w:val="0"/>
                <w:sz w:val="28"/>
                <w:szCs w:val="28"/>
                <w:lang w:val="ru-RU" w:bidi="ar-SA"/>
              </w:rPr>
              <w:t>1000х2000</w:t>
            </w:r>
            <w:r>
              <w:rPr>
                <w:kern w:val="0"/>
                <w:sz w:val="28"/>
                <w:szCs w:val="28"/>
                <w:lang w:val="ru-RU" w:bidi="ar-SA"/>
              </w:rPr>
              <w:t xml:space="preserve">, класса </w:t>
            </w:r>
            <w:r>
              <w:rPr>
                <w:kern w:val="0"/>
                <w:sz w:val="28"/>
                <w:szCs w:val="28"/>
                <w:lang w:val="en-US" w:bidi="ar-SA"/>
              </w:rPr>
              <w:t>EI</w:t>
            </w:r>
            <w:r>
              <w:rPr>
                <w:kern w:val="0"/>
                <w:sz w:val="28"/>
                <w:szCs w:val="28"/>
                <w:lang w:val="ru-RU" w:bidi="ar-SA"/>
              </w:rPr>
              <w:t>-60 серого цвета с доводчиком, противопожарным замком и ручками</w:t>
            </w:r>
          </w:p>
        </w:tc>
        <w:tc>
          <w:tcPr>
            <w:tcW w:w="155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kern w:val="0"/>
                <w:sz w:val="28"/>
                <w:szCs w:val="28"/>
                <w:lang w:val="ru-RU" w:bidi="ar-SA"/>
              </w:rPr>
              <w:t>м²\шт</w:t>
            </w:r>
          </w:p>
        </w:tc>
        <w:tc>
          <w:tcPr>
            <w:tcW w:w="172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kern w:val="0"/>
                <w:sz w:val="28"/>
                <w:szCs w:val="28"/>
                <w:lang w:val="ru-RU" w:bidi="ar-SA"/>
              </w:rPr>
              <w:t>8\4</w:t>
            </w:r>
          </w:p>
        </w:tc>
        <w:tc>
          <w:tcPr>
            <w:tcW w:w="1968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617" w:type="dxa"/>
            <w:vMerge w:val="continue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ind w:left="720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058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Восстановление откосов (штукатурка откосов – 1 м</w:t>
            </w:r>
            <w:r>
              <w:rPr>
                <w:kern w:val="0"/>
                <w:sz w:val="28"/>
                <w:szCs w:val="28"/>
                <w:vertAlign w:val="superscript"/>
                <w:lang w:val="ru-RU" w:bidi="ar-SA"/>
              </w:rPr>
              <w:t>2</w:t>
            </w:r>
            <w:r>
              <w:rPr>
                <w:kern w:val="0"/>
                <w:sz w:val="28"/>
                <w:szCs w:val="28"/>
                <w:lang w:val="ru-RU" w:bidi="ar-SA"/>
              </w:rPr>
              <w:t>, шпатлевка откосов – 1 м</w:t>
            </w:r>
            <w:r>
              <w:rPr>
                <w:kern w:val="0"/>
                <w:sz w:val="28"/>
                <w:szCs w:val="28"/>
                <w:vertAlign w:val="superscript"/>
                <w:lang w:val="ru-RU" w:bidi="ar-SA"/>
              </w:rPr>
              <w:t>2</w:t>
            </w:r>
            <w:r>
              <w:rPr>
                <w:kern w:val="0"/>
                <w:sz w:val="28"/>
                <w:szCs w:val="28"/>
                <w:lang w:val="ru-RU" w:bidi="ar-SA"/>
              </w:rPr>
              <w:t>, окраска водоэмульсионными красками – 1 м</w:t>
            </w:r>
            <w:r>
              <w:rPr>
                <w:kern w:val="0"/>
                <w:sz w:val="28"/>
                <w:szCs w:val="28"/>
                <w:vertAlign w:val="superscript"/>
                <w:lang w:val="ru-RU" w:bidi="ar-SA"/>
              </w:rPr>
              <w:t>2</w:t>
            </w:r>
            <w:r>
              <w:rPr>
                <w:kern w:val="0"/>
                <w:sz w:val="28"/>
                <w:szCs w:val="28"/>
                <w:lang w:val="ru-RU" w:bidi="ar-SA"/>
              </w:rPr>
              <w:t>) в цвет помещений</w:t>
            </w:r>
          </w:p>
        </w:tc>
        <w:tc>
          <w:tcPr>
            <w:tcW w:w="155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kern w:val="0"/>
                <w:sz w:val="28"/>
                <w:szCs w:val="28"/>
                <w:lang w:val="ru-RU" w:bidi="ar-SA"/>
              </w:rPr>
              <w:t>шт</w:t>
            </w:r>
          </w:p>
        </w:tc>
        <w:tc>
          <w:tcPr>
            <w:tcW w:w="172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kern w:val="0"/>
                <w:sz w:val="28"/>
                <w:szCs w:val="28"/>
                <w:lang w:val="ru-RU" w:bidi="ar-SA"/>
              </w:rPr>
              <w:t>4</w:t>
            </w:r>
          </w:p>
        </w:tc>
        <w:tc>
          <w:tcPr>
            <w:tcW w:w="1968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61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ind w:left="720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306" w:type="dxa"/>
            <w:gridSpan w:val="4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Двери лестничной клетки Л-2 с 5 по 7 этажи</w:t>
            </w:r>
          </w:p>
        </w:tc>
      </w:tr>
      <w:tr>
        <w:trPr/>
        <w:tc>
          <w:tcPr>
            <w:tcW w:w="617" w:type="dxa"/>
            <w:vMerge w:val="restart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2925" w:leader="none"/>
              </w:tabs>
              <w:suppressAutoHyphens w:val="true"/>
              <w:bidi w:val="0"/>
              <w:spacing w:lineRule="auto" w:line="240" w:before="0" w:after="0"/>
              <w:ind w:left="170" w:right="170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05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color w:val="000000" w:themeColor="text1"/>
                <w:kern w:val="0"/>
                <w:sz w:val="28"/>
                <w:szCs w:val="28"/>
                <w:lang w:val="ru-RU" w:bidi="ar-SA"/>
              </w:rPr>
              <w:t xml:space="preserve">Демонтаж дверного блока </w:t>
            </w:r>
            <w:r>
              <w:rPr>
                <w:b/>
                <w:color w:val="000000" w:themeColor="text1"/>
                <w:kern w:val="0"/>
                <w:sz w:val="28"/>
                <w:szCs w:val="28"/>
                <w:lang w:val="ru-RU" w:bidi="ar-SA"/>
              </w:rPr>
              <w:t>1000х2200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kern w:val="0"/>
                <w:sz w:val="28"/>
                <w:szCs w:val="28"/>
                <w:lang w:val="ru-RU" w:bidi="ar-SA"/>
              </w:rPr>
              <w:t>м²\шт</w:t>
            </w:r>
          </w:p>
        </w:tc>
        <w:tc>
          <w:tcPr>
            <w:tcW w:w="172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kern w:val="0"/>
                <w:sz w:val="28"/>
                <w:szCs w:val="28"/>
                <w:lang w:val="ru-RU" w:bidi="ar-SA"/>
              </w:rPr>
              <w:t>6,6\3</w:t>
            </w:r>
          </w:p>
        </w:tc>
        <w:tc>
          <w:tcPr>
            <w:tcW w:w="196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b/>
              </w:rPr>
            </w:pPr>
            <w:r>
              <w:rPr>
                <w:b/>
                <w:color w:val="000000" w:themeColor="text1"/>
                <w:kern w:val="0"/>
                <w:lang w:val="ru-RU" w:bidi="ar-SA"/>
              </w:rPr>
              <w:t xml:space="preserve">с сохранением дверного </w:t>
            </w:r>
            <w:bookmarkStart w:id="1" w:name="_GoBack_Копия_1"/>
            <w:bookmarkEnd w:id="1"/>
            <w:r>
              <w:rPr>
                <w:b/>
                <w:color w:val="000000" w:themeColor="text1"/>
                <w:kern w:val="0"/>
                <w:lang w:val="ru-RU" w:bidi="ar-SA"/>
              </w:rPr>
              <w:t>блока</w:t>
            </w:r>
          </w:p>
        </w:tc>
      </w:tr>
      <w:tr>
        <w:trPr/>
        <w:tc>
          <w:tcPr>
            <w:tcW w:w="617" w:type="dxa"/>
            <w:vMerge w:val="continue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ind w:left="720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05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left"/>
              <w:rPr>
                <w:color w:val="000000" w:themeColor="text1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Монтаж противопожарного металлического, дверного блока в проём </w:t>
            </w:r>
            <w:r>
              <w:rPr>
                <w:b/>
                <w:color w:val="000000" w:themeColor="text1"/>
                <w:kern w:val="0"/>
                <w:sz w:val="28"/>
                <w:szCs w:val="28"/>
                <w:lang w:val="ru-RU" w:bidi="ar-SA"/>
              </w:rPr>
              <w:t>1000х2200</w:t>
            </w:r>
            <w:r>
              <w:rPr>
                <w:kern w:val="0"/>
                <w:sz w:val="28"/>
                <w:szCs w:val="28"/>
                <w:lang w:val="ru-RU" w:bidi="ar-SA"/>
              </w:rPr>
              <w:t xml:space="preserve">, класса </w:t>
            </w:r>
            <w:r>
              <w:rPr>
                <w:kern w:val="0"/>
                <w:sz w:val="28"/>
                <w:szCs w:val="28"/>
                <w:lang w:val="en-US" w:bidi="ar-SA"/>
              </w:rPr>
              <w:t>EI</w:t>
            </w:r>
            <w:r>
              <w:rPr>
                <w:kern w:val="0"/>
                <w:sz w:val="28"/>
                <w:szCs w:val="28"/>
                <w:lang w:val="ru-RU" w:bidi="ar-SA"/>
              </w:rPr>
              <w:t>-60 серого цвета с доводчиком, противопожарным замком и ручками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kern w:val="0"/>
                <w:sz w:val="28"/>
                <w:szCs w:val="28"/>
                <w:lang w:val="ru-RU" w:bidi="ar-SA"/>
              </w:rPr>
              <w:t>м²\шт</w:t>
            </w:r>
          </w:p>
        </w:tc>
        <w:tc>
          <w:tcPr>
            <w:tcW w:w="172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kern w:val="0"/>
                <w:sz w:val="28"/>
                <w:szCs w:val="28"/>
                <w:lang w:val="ru-RU" w:bidi="ar-SA"/>
              </w:rPr>
              <w:t>6,6\3</w:t>
            </w:r>
          </w:p>
        </w:tc>
        <w:tc>
          <w:tcPr>
            <w:tcW w:w="196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617" w:type="dxa"/>
            <w:vMerge w:val="continue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ind w:left="720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05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left"/>
              <w:rPr>
                <w:sz w:val="24"/>
                <w:szCs w:val="28"/>
              </w:rPr>
            </w:pPr>
            <w:r>
              <w:rPr>
                <w:kern w:val="0"/>
                <w:sz w:val="26"/>
                <w:szCs w:val="26"/>
                <w:lang w:val="ru-RU" w:bidi="ar-SA"/>
              </w:rPr>
              <w:t>Восстановление откосов (штукатурка откосов – 1 м</w:t>
            </w:r>
            <w:r>
              <w:rPr>
                <w:kern w:val="0"/>
                <w:sz w:val="26"/>
                <w:szCs w:val="26"/>
                <w:vertAlign w:val="superscript"/>
                <w:lang w:val="ru-RU" w:bidi="ar-SA"/>
              </w:rPr>
              <w:t>2</w:t>
            </w:r>
            <w:r>
              <w:rPr>
                <w:kern w:val="0"/>
                <w:sz w:val="26"/>
                <w:szCs w:val="26"/>
                <w:lang w:val="ru-RU" w:bidi="ar-SA"/>
              </w:rPr>
              <w:t>, шпатлевка откосов – 1 м</w:t>
            </w:r>
            <w:r>
              <w:rPr>
                <w:kern w:val="0"/>
                <w:sz w:val="26"/>
                <w:szCs w:val="26"/>
                <w:vertAlign w:val="superscript"/>
                <w:lang w:val="ru-RU" w:bidi="ar-SA"/>
              </w:rPr>
              <w:t>2</w:t>
            </w:r>
            <w:r>
              <w:rPr>
                <w:kern w:val="0"/>
                <w:sz w:val="26"/>
                <w:szCs w:val="26"/>
                <w:lang w:val="ru-RU" w:bidi="ar-SA"/>
              </w:rPr>
              <w:t>, окраска водоэмульсионными красками – 1 м</w:t>
            </w:r>
            <w:r>
              <w:rPr>
                <w:kern w:val="0"/>
                <w:sz w:val="26"/>
                <w:szCs w:val="26"/>
                <w:vertAlign w:val="superscript"/>
                <w:lang w:val="ru-RU" w:bidi="ar-SA"/>
              </w:rPr>
              <w:t>2</w:t>
            </w:r>
            <w:r>
              <w:rPr>
                <w:kern w:val="0"/>
                <w:sz w:val="26"/>
                <w:szCs w:val="26"/>
                <w:lang w:val="ru-RU" w:bidi="ar-SA"/>
              </w:rPr>
              <w:t>) в цвет помещений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sz w:val="24"/>
                <w:szCs w:val="28"/>
              </w:rPr>
            </w:pPr>
            <w:r>
              <w:rPr>
                <w:b/>
                <w:kern w:val="0"/>
                <w:sz w:val="26"/>
                <w:szCs w:val="26"/>
                <w:lang w:val="ru-RU" w:bidi="ar-SA"/>
              </w:rPr>
              <w:t>шт</w:t>
            </w:r>
          </w:p>
        </w:tc>
        <w:tc>
          <w:tcPr>
            <w:tcW w:w="172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sz w:val="24"/>
                <w:szCs w:val="28"/>
              </w:rPr>
            </w:pPr>
            <w:r>
              <w:rPr>
                <w:b/>
                <w:kern w:val="0"/>
                <w:sz w:val="26"/>
                <w:szCs w:val="26"/>
                <w:lang w:val="ru-RU" w:bidi="ar-SA"/>
              </w:rPr>
              <w:t>3</w:t>
            </w:r>
          </w:p>
        </w:tc>
        <w:tc>
          <w:tcPr>
            <w:tcW w:w="196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</w:p>
        </w:tc>
      </w:tr>
      <w:tr>
        <w:trPr/>
        <w:tc>
          <w:tcPr>
            <w:tcW w:w="61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ind w:left="720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306" w:type="dxa"/>
            <w:gridSpan w:val="4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left"/>
              <w:rPr>
                <w:sz w:val="24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>Переход из здания СПК в здание ГАЭС на втором этаже</w:t>
            </w:r>
          </w:p>
        </w:tc>
      </w:tr>
      <w:tr>
        <w:trPr/>
        <w:tc>
          <w:tcPr>
            <w:tcW w:w="617" w:type="dxa"/>
            <w:vMerge w:val="restart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2925" w:leader="none"/>
              </w:tabs>
              <w:suppressAutoHyphens w:val="true"/>
              <w:bidi w:val="0"/>
              <w:spacing w:lineRule="auto" w:line="240" w:before="0" w:after="0"/>
              <w:ind w:left="170" w:right="0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05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left"/>
              <w:rPr>
                <w:sz w:val="24"/>
                <w:szCs w:val="28"/>
              </w:rPr>
            </w:pPr>
            <w:r>
              <w:rPr>
                <w:kern w:val="0"/>
                <w:sz w:val="26"/>
                <w:szCs w:val="26"/>
                <w:lang w:val="ru-RU" w:bidi="ar-SA"/>
              </w:rPr>
              <w:t xml:space="preserve">Монтаж противопожарного металлического, дверного блока в проём </w:t>
            </w:r>
            <w:r>
              <w:rPr>
                <w:b/>
                <w:color w:val="000000" w:themeColor="text1"/>
                <w:kern w:val="0"/>
                <w:sz w:val="26"/>
                <w:szCs w:val="26"/>
                <w:lang w:val="ru-RU" w:bidi="ar-SA"/>
              </w:rPr>
              <w:t>1885х2733</w:t>
            </w:r>
            <w:r>
              <w:rPr>
                <w:kern w:val="0"/>
                <w:sz w:val="26"/>
                <w:szCs w:val="26"/>
                <w:lang w:val="ru-RU" w:bidi="ar-SA"/>
              </w:rPr>
              <w:t xml:space="preserve">, класса </w:t>
            </w:r>
            <w:r>
              <w:rPr>
                <w:kern w:val="0"/>
                <w:sz w:val="26"/>
                <w:szCs w:val="26"/>
                <w:lang w:val="en-US" w:bidi="ar-SA"/>
              </w:rPr>
              <w:t>EI</w:t>
            </w:r>
            <w:r>
              <w:rPr>
                <w:kern w:val="0"/>
                <w:sz w:val="26"/>
                <w:szCs w:val="26"/>
                <w:lang w:val="ru-RU" w:bidi="ar-SA"/>
              </w:rPr>
              <w:t>-60 серого цвета с доводчиком, противопожарным замком и ручками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sz w:val="24"/>
                <w:szCs w:val="28"/>
              </w:rPr>
            </w:pPr>
            <w:r>
              <w:rPr>
                <w:b/>
                <w:kern w:val="0"/>
                <w:sz w:val="26"/>
                <w:szCs w:val="26"/>
                <w:lang w:val="ru-RU" w:bidi="ar-SA"/>
              </w:rPr>
              <w:t>м²\шт</w:t>
            </w:r>
          </w:p>
        </w:tc>
        <w:tc>
          <w:tcPr>
            <w:tcW w:w="172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sz w:val="24"/>
                <w:szCs w:val="28"/>
              </w:rPr>
            </w:pPr>
            <w:r>
              <w:rPr>
                <w:b/>
                <w:kern w:val="0"/>
                <w:sz w:val="26"/>
                <w:szCs w:val="26"/>
                <w:lang w:val="ru-RU" w:bidi="ar-SA"/>
              </w:rPr>
              <w:t>5,15\1</w:t>
            </w:r>
          </w:p>
        </w:tc>
        <w:tc>
          <w:tcPr>
            <w:tcW w:w="196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</w:p>
        </w:tc>
      </w:tr>
      <w:tr>
        <w:trPr/>
        <w:tc>
          <w:tcPr>
            <w:tcW w:w="617" w:type="dxa"/>
            <w:vMerge w:val="continue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ind w:left="720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05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left"/>
              <w:rPr>
                <w:sz w:val="24"/>
                <w:szCs w:val="28"/>
              </w:rPr>
            </w:pPr>
            <w:r>
              <w:rPr>
                <w:kern w:val="0"/>
                <w:sz w:val="26"/>
                <w:szCs w:val="26"/>
                <w:lang w:val="ru-RU" w:bidi="ar-SA"/>
              </w:rPr>
              <w:t>Восстановление откосов (штукатурка откосов – 1 м</w:t>
            </w:r>
            <w:r>
              <w:rPr>
                <w:kern w:val="0"/>
                <w:sz w:val="26"/>
                <w:szCs w:val="26"/>
                <w:vertAlign w:val="superscript"/>
                <w:lang w:val="ru-RU" w:bidi="ar-SA"/>
              </w:rPr>
              <w:t>2</w:t>
            </w:r>
            <w:r>
              <w:rPr>
                <w:kern w:val="0"/>
                <w:sz w:val="26"/>
                <w:szCs w:val="26"/>
                <w:lang w:val="ru-RU" w:bidi="ar-SA"/>
              </w:rPr>
              <w:t>, шпатлевка откосов – 1 м</w:t>
            </w:r>
            <w:r>
              <w:rPr>
                <w:kern w:val="0"/>
                <w:sz w:val="26"/>
                <w:szCs w:val="26"/>
                <w:vertAlign w:val="superscript"/>
                <w:lang w:val="ru-RU" w:bidi="ar-SA"/>
              </w:rPr>
              <w:t>2</w:t>
            </w:r>
            <w:r>
              <w:rPr>
                <w:kern w:val="0"/>
                <w:sz w:val="26"/>
                <w:szCs w:val="26"/>
                <w:lang w:val="ru-RU" w:bidi="ar-SA"/>
              </w:rPr>
              <w:t>, окраска водоэмульсионными красками – 1 м</w:t>
            </w:r>
            <w:r>
              <w:rPr>
                <w:kern w:val="0"/>
                <w:sz w:val="26"/>
                <w:szCs w:val="26"/>
                <w:vertAlign w:val="superscript"/>
                <w:lang w:val="ru-RU" w:bidi="ar-SA"/>
              </w:rPr>
              <w:t>2</w:t>
            </w:r>
            <w:r>
              <w:rPr>
                <w:kern w:val="0"/>
                <w:sz w:val="26"/>
                <w:szCs w:val="26"/>
                <w:lang w:val="ru-RU" w:bidi="ar-SA"/>
              </w:rPr>
              <w:t>) в цвет помещений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sz w:val="24"/>
                <w:szCs w:val="28"/>
              </w:rPr>
            </w:pPr>
            <w:r>
              <w:rPr>
                <w:b/>
                <w:kern w:val="0"/>
                <w:sz w:val="26"/>
                <w:szCs w:val="26"/>
                <w:lang w:val="ru-RU" w:bidi="ar-SA"/>
              </w:rPr>
              <w:t>шт</w:t>
            </w:r>
          </w:p>
        </w:tc>
        <w:tc>
          <w:tcPr>
            <w:tcW w:w="172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sz w:val="24"/>
                <w:szCs w:val="28"/>
              </w:rPr>
            </w:pPr>
            <w:r>
              <w:rPr>
                <w:b/>
                <w:kern w:val="0"/>
                <w:sz w:val="26"/>
                <w:szCs w:val="26"/>
                <w:lang w:val="ru-RU" w:bidi="ar-SA"/>
              </w:rPr>
              <w:t>1</w:t>
            </w:r>
          </w:p>
        </w:tc>
        <w:tc>
          <w:tcPr>
            <w:tcW w:w="196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</w:p>
        </w:tc>
      </w:tr>
      <w:tr>
        <w:trPr/>
        <w:tc>
          <w:tcPr>
            <w:tcW w:w="61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ind w:left="720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306" w:type="dxa"/>
            <w:gridSpan w:val="4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Монтаж дверных блоков помещений 315, 425</w:t>
            </w:r>
          </w:p>
        </w:tc>
      </w:tr>
      <w:tr>
        <w:trPr/>
        <w:tc>
          <w:tcPr>
            <w:tcW w:w="617" w:type="dxa"/>
            <w:vMerge w:val="restart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2925" w:leader="none"/>
              </w:tabs>
              <w:suppressAutoHyphens w:val="true"/>
              <w:bidi w:val="0"/>
              <w:spacing w:lineRule="auto" w:line="240" w:before="0" w:after="0"/>
              <w:ind w:left="283" w:right="0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05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left"/>
              <w:rPr>
                <w:sz w:val="26"/>
                <w:szCs w:val="26"/>
              </w:rPr>
            </w:pPr>
            <w:r>
              <w:rPr>
                <w:color w:val="000000" w:themeColor="text1"/>
                <w:kern w:val="0"/>
                <w:sz w:val="26"/>
                <w:szCs w:val="26"/>
                <w:lang w:val="ru-RU" w:bidi="ar-SA"/>
              </w:rPr>
              <w:t xml:space="preserve">Демонтаж дверного блока </w:t>
            </w:r>
            <w:r>
              <w:rPr>
                <w:b/>
                <w:color w:val="000000" w:themeColor="text1"/>
                <w:kern w:val="0"/>
                <w:sz w:val="26"/>
                <w:szCs w:val="26"/>
                <w:lang w:val="ru-RU" w:bidi="ar-SA"/>
              </w:rPr>
              <w:t>1000х2000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  <w:lang w:val="ru-RU" w:bidi="ar-SA"/>
              </w:rPr>
              <w:t>м²\шт</w:t>
            </w:r>
          </w:p>
        </w:tc>
        <w:tc>
          <w:tcPr>
            <w:tcW w:w="172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  <w:lang w:val="ru-RU" w:bidi="ar-SA"/>
              </w:rPr>
              <w:t>4\2</w:t>
            </w:r>
          </w:p>
        </w:tc>
        <w:tc>
          <w:tcPr>
            <w:tcW w:w="196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b/>
                <w:color w:val="000000" w:themeColor="text1"/>
                <w:kern w:val="0"/>
                <w:sz w:val="26"/>
                <w:szCs w:val="26"/>
                <w:lang w:val="ru-RU" w:bidi="ar-SA"/>
              </w:rPr>
              <w:t xml:space="preserve">с сохранением дверного </w:t>
            </w:r>
            <w:bookmarkStart w:id="2" w:name="_GoBack_Копия_1_Копия_1"/>
            <w:bookmarkEnd w:id="2"/>
            <w:r>
              <w:rPr>
                <w:b/>
                <w:color w:val="000000" w:themeColor="text1"/>
                <w:kern w:val="0"/>
                <w:sz w:val="26"/>
                <w:szCs w:val="26"/>
                <w:lang w:val="ru-RU" w:bidi="ar-SA"/>
              </w:rPr>
              <w:t>блока</w:t>
            </w:r>
          </w:p>
        </w:tc>
      </w:tr>
      <w:tr>
        <w:trPr/>
        <w:tc>
          <w:tcPr>
            <w:tcW w:w="617" w:type="dxa"/>
            <w:vMerge w:val="continue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ind w:left="720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05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left"/>
              <w:rPr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  <w:lang w:val="ru-RU" w:bidi="ar-SA"/>
              </w:rPr>
              <w:t xml:space="preserve">Монтаж противопожарного металлического, дверного блока в проём </w:t>
            </w:r>
            <w:r>
              <w:rPr>
                <w:b/>
                <w:color w:val="000000" w:themeColor="text1"/>
                <w:kern w:val="0"/>
                <w:sz w:val="26"/>
                <w:szCs w:val="26"/>
                <w:lang w:val="ru-RU" w:bidi="ar-SA"/>
              </w:rPr>
              <w:t>1000х2000</w:t>
            </w:r>
            <w:r>
              <w:rPr>
                <w:kern w:val="0"/>
                <w:sz w:val="26"/>
                <w:szCs w:val="26"/>
                <w:lang w:val="ru-RU" w:bidi="ar-SA"/>
              </w:rPr>
              <w:t xml:space="preserve">, класса </w:t>
            </w:r>
            <w:r>
              <w:rPr>
                <w:kern w:val="0"/>
                <w:sz w:val="26"/>
                <w:szCs w:val="26"/>
                <w:lang w:val="en-US" w:bidi="ar-SA"/>
              </w:rPr>
              <w:t>EI</w:t>
            </w:r>
            <w:r>
              <w:rPr>
                <w:kern w:val="0"/>
                <w:sz w:val="26"/>
                <w:szCs w:val="26"/>
                <w:lang w:val="ru-RU" w:bidi="ar-SA"/>
              </w:rPr>
              <w:t>-60 серого цвета с доводчиком, противопожарным замком и ручками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  <w:lang w:val="ru-RU" w:bidi="ar-SA"/>
              </w:rPr>
              <w:t>м²\шт</w:t>
            </w:r>
          </w:p>
        </w:tc>
        <w:tc>
          <w:tcPr>
            <w:tcW w:w="172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  <w:lang w:val="ru-RU" w:bidi="ar-SA"/>
              </w:rPr>
              <w:t>4\2</w:t>
            </w:r>
          </w:p>
        </w:tc>
        <w:tc>
          <w:tcPr>
            <w:tcW w:w="196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Двери предоставляются заказчиком</w:t>
            </w:r>
          </w:p>
        </w:tc>
      </w:tr>
      <w:tr>
        <w:trPr/>
        <w:tc>
          <w:tcPr>
            <w:tcW w:w="617" w:type="dxa"/>
            <w:vMerge w:val="continue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ind w:left="720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05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left"/>
              <w:rPr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  <w:lang w:val="ru-RU" w:bidi="ar-SA"/>
              </w:rPr>
              <w:t>Восстановление откосов (штукатурка откосов – 1 м</w:t>
            </w:r>
            <w:r>
              <w:rPr>
                <w:kern w:val="0"/>
                <w:sz w:val="26"/>
                <w:szCs w:val="26"/>
                <w:vertAlign w:val="superscript"/>
                <w:lang w:val="ru-RU" w:bidi="ar-SA"/>
              </w:rPr>
              <w:t>2</w:t>
            </w:r>
            <w:r>
              <w:rPr>
                <w:kern w:val="0"/>
                <w:sz w:val="26"/>
                <w:szCs w:val="26"/>
                <w:lang w:val="ru-RU" w:bidi="ar-SA"/>
              </w:rPr>
              <w:t>, шпатлевка откосов – 1 м</w:t>
            </w:r>
            <w:r>
              <w:rPr>
                <w:kern w:val="0"/>
                <w:sz w:val="26"/>
                <w:szCs w:val="26"/>
                <w:vertAlign w:val="superscript"/>
                <w:lang w:val="ru-RU" w:bidi="ar-SA"/>
              </w:rPr>
              <w:t>2</w:t>
            </w:r>
            <w:r>
              <w:rPr>
                <w:kern w:val="0"/>
                <w:sz w:val="26"/>
                <w:szCs w:val="26"/>
                <w:lang w:val="ru-RU" w:bidi="ar-SA"/>
              </w:rPr>
              <w:t>, окраска водоэмульсионными красками – 1 м</w:t>
            </w:r>
            <w:r>
              <w:rPr>
                <w:kern w:val="0"/>
                <w:sz w:val="26"/>
                <w:szCs w:val="26"/>
                <w:vertAlign w:val="superscript"/>
                <w:lang w:val="ru-RU" w:bidi="ar-SA"/>
              </w:rPr>
              <w:t>2</w:t>
            </w:r>
            <w:r>
              <w:rPr>
                <w:kern w:val="0"/>
                <w:sz w:val="26"/>
                <w:szCs w:val="26"/>
                <w:lang w:val="ru-RU" w:bidi="ar-SA"/>
              </w:rPr>
              <w:t>) в цвет помещений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  <w:lang w:val="ru-RU" w:bidi="ar-SA"/>
              </w:rPr>
              <w:t>шт</w:t>
            </w:r>
          </w:p>
        </w:tc>
        <w:tc>
          <w:tcPr>
            <w:tcW w:w="172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  <w:lang w:val="ru-RU" w:bidi="ar-SA"/>
              </w:rPr>
              <w:t>2</w:t>
            </w:r>
          </w:p>
        </w:tc>
        <w:tc>
          <w:tcPr>
            <w:tcW w:w="196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</w:p>
        </w:tc>
      </w:tr>
      <w:tr>
        <w:trPr/>
        <w:tc>
          <w:tcPr>
            <w:tcW w:w="61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ind w:left="720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306" w:type="dxa"/>
            <w:gridSpan w:val="4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Окна МВС</w:t>
            </w:r>
          </w:p>
        </w:tc>
      </w:tr>
      <w:tr>
        <w:trPr/>
        <w:tc>
          <w:tcPr>
            <w:tcW w:w="617" w:type="dxa"/>
            <w:vMerge w:val="restart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2925" w:leader="none"/>
              </w:tabs>
              <w:suppressAutoHyphens w:val="true"/>
              <w:bidi w:val="0"/>
              <w:spacing w:lineRule="auto" w:line="240" w:before="0" w:after="0"/>
              <w:ind w:left="170" w:right="0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05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left"/>
              <w:rPr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  <w:lang w:val="ru-RU" w:bidi="ar-SA"/>
              </w:rPr>
              <w:t xml:space="preserve">Демонтаж оконных блоков ПВХ </w:t>
            </w:r>
            <w:r>
              <w:rPr>
                <w:b/>
                <w:kern w:val="0"/>
                <w:sz w:val="26"/>
                <w:szCs w:val="26"/>
                <w:lang w:val="ru-RU" w:bidi="ar-SA"/>
              </w:rPr>
              <w:t>1,06 х 1,16</w:t>
            </w:r>
            <w:r>
              <w:rPr>
                <w:kern w:val="0"/>
                <w:sz w:val="26"/>
                <w:szCs w:val="26"/>
                <w:lang w:val="ru-RU" w:bidi="ar-SA"/>
              </w:rPr>
              <w:t>.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  <w:lang w:val="ru-RU" w:bidi="ar-SA"/>
              </w:rPr>
              <w:t>м</w:t>
            </w:r>
            <w:r>
              <w:rPr>
                <w:b/>
                <w:kern w:val="0"/>
                <w:sz w:val="26"/>
                <w:szCs w:val="26"/>
                <w:vertAlign w:val="superscript"/>
                <w:lang w:val="ru-RU" w:bidi="ar-SA"/>
              </w:rPr>
              <w:t>2</w:t>
            </w:r>
            <w:r>
              <w:rPr>
                <w:b/>
                <w:kern w:val="0"/>
                <w:sz w:val="26"/>
                <w:szCs w:val="26"/>
                <w:lang w:val="ru-RU" w:bidi="ar-SA"/>
              </w:rPr>
              <w:t>/ шт.</w:t>
            </w:r>
          </w:p>
        </w:tc>
        <w:tc>
          <w:tcPr>
            <w:tcW w:w="172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  <w:lang w:val="ru-RU" w:bidi="ar-SA"/>
              </w:rPr>
              <w:t>1,3/1</w:t>
            </w:r>
          </w:p>
        </w:tc>
        <w:tc>
          <w:tcPr>
            <w:tcW w:w="196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617" w:type="dxa"/>
            <w:vMerge w:val="continue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ind w:left="720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05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left"/>
              <w:rPr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  <w:lang w:val="ru-RU" w:bidi="ar-SA"/>
              </w:rPr>
              <w:t xml:space="preserve">Демонтаж оконных блоков ПВХ </w:t>
            </w:r>
            <w:r>
              <w:rPr>
                <w:b/>
                <w:kern w:val="0"/>
                <w:sz w:val="26"/>
                <w:szCs w:val="26"/>
                <w:lang w:val="ru-RU" w:bidi="ar-SA"/>
              </w:rPr>
              <w:t>0,96 х 1,14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  <w:lang w:val="ru-RU" w:bidi="ar-SA"/>
              </w:rPr>
              <w:t>м</w:t>
            </w:r>
            <w:r>
              <w:rPr>
                <w:b/>
                <w:kern w:val="0"/>
                <w:sz w:val="26"/>
                <w:szCs w:val="26"/>
                <w:vertAlign w:val="superscript"/>
                <w:lang w:val="ru-RU" w:bidi="ar-SA"/>
              </w:rPr>
              <w:t>2</w:t>
            </w:r>
            <w:r>
              <w:rPr>
                <w:b/>
                <w:kern w:val="0"/>
                <w:sz w:val="26"/>
                <w:szCs w:val="26"/>
                <w:lang w:val="ru-RU" w:bidi="ar-SA"/>
              </w:rPr>
              <w:t>/ шт.</w:t>
            </w:r>
          </w:p>
        </w:tc>
        <w:tc>
          <w:tcPr>
            <w:tcW w:w="172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  <w:lang w:val="ru-RU" w:bidi="ar-SA"/>
              </w:rPr>
              <w:t>1,1/1</w:t>
            </w:r>
          </w:p>
        </w:tc>
        <w:tc>
          <w:tcPr>
            <w:tcW w:w="196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617" w:type="dxa"/>
            <w:vMerge w:val="continue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ind w:left="720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05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left"/>
              <w:rPr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  <w:lang w:val="ru-RU" w:bidi="ar-SA"/>
              </w:rPr>
              <w:t>Установка противопожарного оконного блока 1060×1160 (двухстворчатый, с глухой и поворотно-откидной створкой, двухкамерным стеклопакетом, москитная сетка, гребенка, подоконник 250х1160 – 1шт).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  <w:lang w:val="ru-RU" w:bidi="ar-SA"/>
              </w:rPr>
              <w:t>м</w:t>
            </w:r>
            <w:r>
              <w:rPr>
                <w:b/>
                <w:kern w:val="0"/>
                <w:sz w:val="26"/>
                <w:szCs w:val="26"/>
                <w:vertAlign w:val="superscript"/>
                <w:lang w:val="ru-RU" w:bidi="ar-SA"/>
              </w:rPr>
              <w:t>2</w:t>
            </w:r>
          </w:p>
        </w:tc>
        <w:tc>
          <w:tcPr>
            <w:tcW w:w="172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  <w:lang w:val="ru-RU" w:bidi="ar-SA"/>
              </w:rPr>
              <w:t>1,3/1</w:t>
            </w:r>
          </w:p>
        </w:tc>
        <w:tc>
          <w:tcPr>
            <w:tcW w:w="196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</w:p>
        </w:tc>
      </w:tr>
      <w:tr>
        <w:trPr/>
        <w:tc>
          <w:tcPr>
            <w:tcW w:w="617" w:type="dxa"/>
            <w:vMerge w:val="continue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ind w:left="720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05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left"/>
              <w:rPr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  <w:lang w:val="ru-RU" w:bidi="ar-SA"/>
              </w:rPr>
              <w:t>Установка противопожарного оконного блока 960×1140 (двухстворчатый, с глухой и поворотно-откидной створкой, двухкамерным стеклопакетом, москитная сетка, гребенка, подоконник 250х960 – 1шт).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  <w:lang w:val="ru-RU" w:bidi="ar-SA"/>
              </w:rPr>
              <w:t>м</w:t>
            </w:r>
            <w:r>
              <w:rPr>
                <w:b/>
                <w:kern w:val="0"/>
                <w:sz w:val="26"/>
                <w:szCs w:val="26"/>
                <w:vertAlign w:val="superscript"/>
                <w:lang w:val="ru-RU" w:bidi="ar-SA"/>
              </w:rPr>
              <w:t>2</w:t>
            </w:r>
          </w:p>
        </w:tc>
        <w:tc>
          <w:tcPr>
            <w:tcW w:w="172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  <w:lang w:val="ru-RU" w:bidi="ar-SA"/>
              </w:rPr>
              <w:t>1,1/1</w:t>
            </w:r>
          </w:p>
        </w:tc>
        <w:tc>
          <w:tcPr>
            <w:tcW w:w="196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</w:p>
        </w:tc>
      </w:tr>
      <w:tr>
        <w:trPr/>
        <w:tc>
          <w:tcPr>
            <w:tcW w:w="61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ind w:left="720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306" w:type="dxa"/>
            <w:gridSpan w:val="4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Окно КРУЭ</w:t>
            </w:r>
          </w:p>
        </w:tc>
      </w:tr>
      <w:tr>
        <w:trPr/>
        <w:tc>
          <w:tcPr>
            <w:tcW w:w="617" w:type="dxa"/>
            <w:vMerge w:val="restart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2925" w:leader="none"/>
              </w:tabs>
              <w:suppressAutoHyphens w:val="true"/>
              <w:bidi w:val="0"/>
              <w:spacing w:lineRule="auto" w:line="240" w:before="0" w:after="0"/>
              <w:ind w:left="227" w:right="0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05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left"/>
              <w:rPr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  <w:lang w:val="ru-RU" w:bidi="ar-SA"/>
              </w:rPr>
              <w:t xml:space="preserve">Демонтаж оконного блока ПВХ </w:t>
            </w:r>
            <w:r>
              <w:rPr>
                <w:b/>
                <w:kern w:val="0"/>
                <w:sz w:val="26"/>
                <w:szCs w:val="26"/>
                <w:lang w:val="ru-RU" w:bidi="ar-SA"/>
              </w:rPr>
              <w:t>1000х2000</w:t>
            </w:r>
            <w:r>
              <w:rPr>
                <w:kern w:val="0"/>
                <w:sz w:val="26"/>
                <w:szCs w:val="26"/>
                <w:lang w:val="ru-RU" w:bidi="ar-SA"/>
              </w:rPr>
              <w:t>.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  <w:lang w:val="ru-RU" w:bidi="ar-SA"/>
              </w:rPr>
              <w:t>м</w:t>
            </w:r>
            <w:r>
              <w:rPr>
                <w:b/>
                <w:kern w:val="0"/>
                <w:sz w:val="26"/>
                <w:szCs w:val="26"/>
                <w:vertAlign w:val="superscript"/>
                <w:lang w:val="ru-RU" w:bidi="ar-SA"/>
              </w:rPr>
              <w:t>2</w:t>
            </w:r>
            <w:r>
              <w:rPr>
                <w:b/>
                <w:kern w:val="0"/>
                <w:sz w:val="26"/>
                <w:szCs w:val="26"/>
                <w:lang w:val="ru-RU" w:bidi="ar-SA"/>
              </w:rPr>
              <w:t>/ шт.</w:t>
            </w:r>
          </w:p>
        </w:tc>
        <w:tc>
          <w:tcPr>
            <w:tcW w:w="172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  <w:lang w:val="ru-RU" w:bidi="ar-SA"/>
              </w:rPr>
              <w:t>2/1</w:t>
            </w:r>
          </w:p>
        </w:tc>
        <w:tc>
          <w:tcPr>
            <w:tcW w:w="196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</w:p>
        </w:tc>
      </w:tr>
      <w:tr>
        <w:trPr/>
        <w:tc>
          <w:tcPr>
            <w:tcW w:w="617" w:type="dxa"/>
            <w:vMerge w:val="continue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ind w:left="720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05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left"/>
              <w:rPr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  <w:lang w:val="ru-RU" w:bidi="ar-SA"/>
              </w:rPr>
              <w:t xml:space="preserve">Установка противопожарного оконного блока ПВХ </w:t>
            </w:r>
            <w:r>
              <w:rPr>
                <w:b/>
                <w:kern w:val="0"/>
                <w:sz w:val="26"/>
                <w:szCs w:val="26"/>
                <w:lang w:val="ru-RU" w:bidi="ar-SA"/>
              </w:rPr>
              <w:t>1000х2000</w:t>
            </w:r>
            <w:r>
              <w:rPr>
                <w:kern w:val="0"/>
                <w:sz w:val="26"/>
                <w:szCs w:val="26"/>
                <w:lang w:val="ru-RU" w:bidi="ar-SA"/>
              </w:rPr>
              <w:t>. (двухстворчатый, с глухой и поворотно-откидной створкой, двухкамерным стеклопакетом, москитная сетка, гребенка)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position w:val="0"/>
                <w:sz w:val="22"/>
                <w:vertAlign w:val="baseline"/>
              </w:rPr>
            </w:pPr>
            <w:r>
              <w:rPr>
                <w:b/>
                <w:kern w:val="0"/>
                <w:position w:val="0"/>
                <w:sz w:val="26"/>
                <w:sz w:val="26"/>
                <w:szCs w:val="26"/>
                <w:vertAlign w:val="baseline"/>
                <w:lang w:val="ru-RU" w:bidi="ar-SA"/>
              </w:rPr>
              <w:t>м2/ шт.</w:t>
            </w:r>
          </w:p>
        </w:tc>
        <w:tc>
          <w:tcPr>
            <w:tcW w:w="172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b/>
                <w:kern w:val="0"/>
                <w:sz w:val="26"/>
                <w:szCs w:val="26"/>
                <w:lang w:val="ru-RU" w:bidi="ar-SA"/>
              </w:rPr>
              <w:t>2/1</w:t>
            </w:r>
          </w:p>
        </w:tc>
        <w:tc>
          <w:tcPr>
            <w:tcW w:w="196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25" w:leader="none"/>
              </w:tabs>
              <w:suppressAutoHyphens w:val="true"/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Примечание: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стесненная рабочая зона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Заместитель главного инженера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по эксплуатации</w:t>
        <w:tab/>
        <w:tab/>
        <w:tab/>
        <w:tab/>
        <w:tab/>
        <w:tab/>
        <w:tab/>
        <w:tab/>
        <w:t>Литвиченко Д.А.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Начальник ПТС</w:t>
        <w:tab/>
        <w:tab/>
        <w:tab/>
        <w:tab/>
        <w:tab/>
        <w:tab/>
        <w:tab/>
        <w:tab/>
        <w:t>Горин В.А.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Начальник службы эксплуатации</w:t>
        <w:tab/>
        <w:tab/>
        <w:tab/>
        <w:tab/>
        <w:tab/>
        <w:t>Дмитриев А.Н.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И.о. начальника участка ГТС и ПЗ СЭ</w:t>
        <w:tab/>
        <w:tab/>
        <w:tab/>
        <w:tab/>
        <w:t>Пуган М.В.</w:t>
      </w:r>
    </w:p>
    <w:sectPr>
      <w:type w:val="nextPage"/>
      <w:pgSz w:w="11906" w:h="16838"/>
      <w:pgMar w:left="1701" w:right="850" w:gutter="0" w:header="0" w:top="1135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c490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101d19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2"/>
    <w:uiPriority w:val="9"/>
    <w:qFormat/>
    <w:rsid w:val="00526af4"/>
    <w:pPr>
      <w:spacing w:beforeAutospacing="1" w:afterAutospacing="1"/>
      <w:outlineLvl w:val="1"/>
    </w:pPr>
    <w:rPr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7" w:customStyle="1">
    <w:name w:val="Верхний колонтитул Знак"/>
    <w:basedOn w:val="DefaultParagraphFont"/>
    <w:uiPriority w:val="99"/>
    <w:qFormat/>
    <w:rsid w:val="003c490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8" w:customStyle="1">
    <w:name w:val="Нижний колонтитул Знак"/>
    <w:basedOn w:val="DefaultParagraphFont"/>
    <w:uiPriority w:val="99"/>
    <w:qFormat/>
    <w:rsid w:val="003c490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ae328f"/>
    <w:rPr>
      <w:rFonts w:ascii="Tahoma" w:hAnsi="Tahoma" w:eastAsia="Times New Roman" w:cs="Tahoma"/>
      <w:sz w:val="16"/>
      <w:szCs w:val="16"/>
      <w:lang w:eastAsia="ru-RU"/>
    </w:rPr>
  </w:style>
  <w:style w:type="character" w:styleId="2" w:customStyle="1">
    <w:name w:val="Заголовок 2 Знак"/>
    <w:basedOn w:val="DefaultParagraphFont"/>
    <w:uiPriority w:val="9"/>
    <w:qFormat/>
    <w:rsid w:val="00526af4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101d19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  <w:lang w:eastAsia="ru-RU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/>
  </w:style>
  <w:style w:type="paragraph" w:styleId="Style12">
    <w:name w:val="Колонтитул"/>
    <w:basedOn w:val="Normal"/>
    <w:qFormat/>
    <w:pPr/>
    <w:rPr/>
  </w:style>
  <w:style w:type="paragraph" w:styleId="Header">
    <w:name w:val="Header"/>
    <w:basedOn w:val="Normal"/>
    <w:link w:val="Style7"/>
    <w:uiPriority w:val="99"/>
    <w:unhideWhenUsed/>
    <w:rsid w:val="003c490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8"/>
    <w:uiPriority w:val="99"/>
    <w:unhideWhenUsed/>
    <w:rsid w:val="003c490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dc1e6d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Style9"/>
    <w:uiPriority w:val="99"/>
    <w:semiHidden/>
    <w:unhideWhenUsed/>
    <w:qFormat/>
    <w:rsid w:val="00ae328f"/>
    <w:pPr/>
    <w:rPr>
      <w:rFonts w:ascii="Tahoma" w:hAnsi="Tahoma" w:cs="Tahoma"/>
      <w:sz w:val="16"/>
      <w:szCs w:val="16"/>
    </w:rPr>
  </w:style>
  <w:style w:type="paragraph" w:styleId="FORMATTEXT" w:customStyle="1">
    <w:name w:val=".FORMATTEXT"/>
    <w:uiPriority w:val="99"/>
    <w:qFormat/>
    <w:rsid w:val="007f4eb5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" w:cs="Arial" w:eastAsiaTheme="minorEastAsia"/>
      <w:color w:val="auto"/>
      <w:kern w:val="0"/>
      <w:sz w:val="20"/>
      <w:szCs w:val="20"/>
      <w:lang w:val="ru-RU" w:eastAsia="ru-RU" w:bidi="ar-SA"/>
    </w:rPr>
  </w:style>
  <w:style w:type="paragraph" w:styleId="Style13">
    <w:name w:val="Содержимое таблицы"/>
    <w:basedOn w:val="Normal"/>
    <w:qFormat/>
    <w:pPr>
      <w:widowControl w:val="false"/>
      <w:suppressLineNumbers/>
    </w:pPr>
    <w:rPr/>
  </w:style>
  <w:style w:type="paragraph" w:styleId="Style14">
    <w:name w:val="Заголовок таблицы"/>
    <w:basedOn w:val="Style13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3c490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57915-7CA5-4A52-99AF-172458808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Application>AlterOffice/3.4.0.9$Linux_X86_64 LibreOffice_project/b8daf9e823b1a5463a2f48435ddc2e8696e7d4fc</Application>
  <AppVersion>15.0000</AppVersion>
  <Pages>3</Pages>
  <Words>437</Words>
  <Characters>2702</Characters>
  <CharactersWithSpaces>3072</CharactersWithSpaces>
  <Paragraphs>105</Paragraphs>
  <Company>Загорская ГАЭС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2019-06-06T06:54:00Z</dcterms:created>
  <dc:creator>Спирц Андрей Васильевич</dc:creator>
  <dc:description/>
  <dc:language>ru-RU</dc:language>
  <cp:lastModifiedBy>Евгений Игоревич Украинцев</cp:lastModifiedBy>
  <cp:lastPrinted>2026-07-02T16:05:20Z</cp:lastPrinted>
  <dcterms:modified xsi:type="dcterms:W3CDTF">2026-07-08T09:46:06Z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